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461502">
      <w:pPr>
        <w:jc w:val="center"/>
        <w:rPr>
          <w:rFonts w:ascii="宋体" w:hAnsi="宋体"/>
          <w:color w:val="000000"/>
          <w:szCs w:val="32"/>
        </w:rPr>
      </w:pPr>
      <w:r>
        <w:rPr>
          <w:rFonts w:hint="eastAsia" w:ascii="方正小标宋简体" w:hAnsi="华文中宋" w:eastAsia="方正小标宋简体" w:cs="宋体"/>
          <w:color w:val="FF0000"/>
          <w:spacing w:val="1"/>
          <w:w w:val="82"/>
          <w:kern w:val="0"/>
          <w:sz w:val="84"/>
          <w:szCs w:val="84"/>
          <w:fitText w:val="8359" w:id="486947338"/>
        </w:rPr>
        <w:t>中国矿业大学化工学院文</w:t>
      </w:r>
      <w:r>
        <w:rPr>
          <w:rFonts w:hint="eastAsia" w:ascii="方正小标宋简体" w:hAnsi="华文中宋" w:eastAsia="方正小标宋简体" w:cs="宋体"/>
          <w:color w:val="FF0000"/>
          <w:spacing w:val="37"/>
          <w:w w:val="82"/>
          <w:kern w:val="0"/>
          <w:sz w:val="84"/>
          <w:szCs w:val="84"/>
          <w:fitText w:val="8359" w:id="486947338"/>
        </w:rPr>
        <w:t>件</w:t>
      </w:r>
      <w:r>
        <w:rPr>
          <w:rFonts w:hint="eastAsia"/>
          <w:color w:val="000000"/>
          <w:szCs w:val="32"/>
        </w:rPr>
        <w:t xml:space="preserve">  </w:t>
      </w:r>
    </w:p>
    <w:p w14:paraId="40DE0E1B">
      <w:pPr>
        <w:jc w:val="center"/>
        <w:rPr>
          <w:rFonts w:ascii="仿宋_GB2312" w:hAnsi="仿宋" w:eastAsia="仿宋_GB2312"/>
          <w:sz w:val="32"/>
          <w:szCs w:val="32"/>
        </w:rPr>
      </w:pPr>
      <w:r>
        <w:rPr>
          <w:rFonts w:hint="eastAsia" w:ascii="华文仿宋" w:hAnsi="华文仿宋" w:eastAsia="华文仿宋"/>
          <w:sz w:val="28"/>
          <w:szCs w:val="28"/>
        </w:rPr>
        <w:t xml:space="preserve"> </w:t>
      </w:r>
      <w:bookmarkStart w:id="0" w:name="文件编号"/>
      <w:r>
        <w:rPr>
          <w:rFonts w:hint="eastAsia" w:ascii="仿宋_GB2312" w:hAnsi="仿宋" w:eastAsia="仿宋_GB2312"/>
          <w:sz w:val="32"/>
          <w:szCs w:val="32"/>
        </w:rPr>
        <w:t>中矿大化工字〔</w:t>
      </w:r>
      <w:r>
        <w:rPr>
          <w:rFonts w:ascii="仿宋_GB2312" w:hAnsi="仿宋" w:eastAsia="仿宋_GB2312"/>
          <w:sz w:val="32"/>
          <w:szCs w:val="32"/>
        </w:rPr>
        <w:t>202</w:t>
      </w:r>
      <w:r>
        <w:rPr>
          <w:rFonts w:hint="eastAsia" w:ascii="仿宋_GB2312" w:hAnsi="仿宋" w:eastAsia="仿宋_GB2312"/>
          <w:sz w:val="32"/>
          <w:szCs w:val="32"/>
        </w:rPr>
        <w:t>4</w:t>
      </w:r>
      <w:r>
        <w:rPr>
          <w:rFonts w:ascii="仿宋_GB2312" w:hAnsi="仿宋" w:eastAsia="仿宋_GB2312"/>
          <w:sz w:val="32"/>
          <w:szCs w:val="32"/>
        </w:rPr>
        <w:t>〕</w:t>
      </w:r>
      <w:bookmarkEnd w:id="0"/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号</w:t>
      </w:r>
    </w:p>
    <w:p w14:paraId="06E91952"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88265</wp:posOffset>
                </wp:positionH>
                <wp:positionV relativeFrom="paragraph">
                  <wp:posOffset>101600</wp:posOffset>
                </wp:positionV>
                <wp:extent cx="5429250" cy="22225"/>
                <wp:effectExtent l="0" t="0" r="0" b="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429250" cy="2222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6.95pt;margin-top:8pt;height:1.75pt;width:427.5pt;z-index:251659264;mso-width-relative:page;mso-height-relative:page;" filled="f" stroked="t" coordsize="21600,21600" o:gfxdata="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NXOJ4TWAAAACAEAAA8AAAAAAAAAAQAgAAAAIgAAAGRycy9kb3ducmV2&#10;LnhtbFBLAQIUABQAAAAIAIdO4kAlamdi/gEAAM0DAAAOAAAAAAAAAAEAIAAAACUBAABkcnMvZTJv&#10;RG9jLnhtbFBLBQYAAAAABgAGAFkBAACVBQAAAAA=&#10;">
                <v:fill on="f" focussize="0,0"/>
                <v:stroke weight="2pt" color="#FF0000" joinstyle="round"/>
                <v:imagedata o:title=""/>
                <o:lock v:ext="edit" aspectratio="f"/>
              </v:shape>
            </w:pict>
          </mc:Fallback>
        </mc:AlternateContent>
      </w:r>
    </w:p>
    <w:p w14:paraId="017DB4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520" w:lineRule="exact"/>
        <w:ind w:firstLine="640" w:firstLineChars="200"/>
        <w:textAlignment w:val="auto"/>
        <w:rPr>
          <w:b/>
          <w:bCs/>
          <w:sz w:val="32"/>
          <w:szCs w:val="32"/>
        </w:rPr>
      </w:pPr>
      <w:bookmarkStart w:id="1" w:name="文件标题"/>
      <w:bookmarkEnd w:id="1"/>
      <w:r>
        <w:rPr>
          <w:rFonts w:hint="eastAsia" w:ascii="仿宋_GB2312" w:hAnsi="宋体" w:eastAsia="仿宋_GB2312" w:cs="宋体"/>
          <w:color w:val="222222"/>
          <w:kern w:val="0"/>
          <w:sz w:val="32"/>
          <w:szCs w:val="32"/>
        </w:rPr>
        <w:t>为了进一步深化</w:t>
      </w:r>
      <w:r>
        <w:rPr>
          <w:rFonts w:hint="eastAsia" w:ascii="仿宋_GB2312" w:hAnsi="宋体" w:eastAsia="仿宋_GB2312" w:cs="宋体"/>
          <w:color w:val="222222"/>
          <w:kern w:val="0"/>
          <w:sz w:val="32"/>
          <w:szCs w:val="32"/>
          <w:lang w:val="en-US" w:eastAsia="zh-CN"/>
        </w:rPr>
        <w:t>我院</w:t>
      </w:r>
      <w:r>
        <w:rPr>
          <w:rFonts w:hint="eastAsia" w:ascii="仿宋_GB2312" w:hAnsi="宋体" w:eastAsia="仿宋_GB2312" w:cs="宋体"/>
          <w:color w:val="222222"/>
          <w:kern w:val="0"/>
          <w:sz w:val="32"/>
          <w:szCs w:val="32"/>
        </w:rPr>
        <w:t>研究生招生制度改革，加强研究生的招生管理工作，提高人才选拔质量，确保研究生招生工作科学、规范，依据教育部</w:t>
      </w:r>
      <w:r>
        <w:rPr>
          <w:rFonts w:hint="eastAsia" w:ascii="仿宋_GB2312" w:hAnsi="宋体" w:eastAsia="仿宋_GB2312" w:cs="宋体"/>
          <w:color w:val="222222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宋体"/>
          <w:color w:val="222222"/>
          <w:kern w:val="0"/>
          <w:sz w:val="32"/>
          <w:szCs w:val="32"/>
        </w:rPr>
        <w:t>江苏省</w:t>
      </w:r>
      <w:r>
        <w:rPr>
          <w:rFonts w:hint="eastAsia" w:ascii="仿宋_GB2312" w:hAnsi="宋体" w:eastAsia="仿宋_GB2312" w:cs="宋体"/>
          <w:color w:val="222222"/>
          <w:kern w:val="0"/>
          <w:sz w:val="32"/>
          <w:szCs w:val="32"/>
          <w:lang w:val="en-US" w:eastAsia="zh-CN"/>
        </w:rPr>
        <w:t>和学校</w:t>
      </w:r>
      <w:r>
        <w:rPr>
          <w:rFonts w:hint="eastAsia" w:ascii="仿宋_GB2312" w:hAnsi="宋体" w:eastAsia="仿宋_GB2312" w:cs="宋体"/>
          <w:color w:val="222222"/>
          <w:kern w:val="0"/>
          <w:sz w:val="32"/>
          <w:szCs w:val="32"/>
        </w:rPr>
        <w:t>有关文件精神，结合我</w:t>
      </w:r>
      <w:r>
        <w:rPr>
          <w:rFonts w:hint="eastAsia" w:ascii="仿宋_GB2312" w:hAnsi="宋体" w:eastAsia="仿宋_GB2312" w:cs="宋体"/>
          <w:color w:val="222222"/>
          <w:kern w:val="0"/>
          <w:sz w:val="32"/>
          <w:szCs w:val="32"/>
          <w:lang w:val="en-US" w:eastAsia="zh-CN"/>
        </w:rPr>
        <w:t>院</w:t>
      </w:r>
      <w:r>
        <w:rPr>
          <w:rFonts w:hint="eastAsia" w:ascii="仿宋_GB2312" w:hAnsi="宋体" w:eastAsia="仿宋_GB2312" w:cs="宋体"/>
          <w:color w:val="222222"/>
          <w:kern w:val="0"/>
          <w:sz w:val="32"/>
          <w:szCs w:val="32"/>
        </w:rPr>
        <w:t xml:space="preserve">实际情况，制定本办法。 </w:t>
      </w:r>
    </w:p>
    <w:p w14:paraId="70E3E3C1">
      <w:pPr>
        <w:jc w:val="center"/>
        <w:rPr>
          <w:rFonts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化工学院硕士研究生招生指标分配办法</w:t>
      </w:r>
    </w:p>
    <w:p w14:paraId="62209F04">
      <w:pPr>
        <w:pStyle w:val="11"/>
        <w:spacing w:line="560" w:lineRule="exact"/>
        <w:ind w:firstLine="560" w:firstLineChars="200"/>
        <w:jc w:val="both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ascii="Times New Roman" w:hAnsi="Times New Roman" w:eastAsia="仿宋" w:cs="Times New Roman"/>
          <w:color w:val="auto"/>
          <w:sz w:val="28"/>
          <w:szCs w:val="28"/>
        </w:rPr>
        <w:t>为促进学科高质量发展，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</w:rPr>
        <w:t>提高硕士研究生培养质量，促进硕士研究生招生指标分配的科学化、规范化、制度化。根据学校招生指标分配原则和有关规定，结合我院实际情况，以更好落实学科发展目标任务为导向，充分体现各类科研学术条件对学科发展的贡献度，制定我院各学科硕士研究生招生指标分配实施细则。</w:t>
      </w:r>
    </w:p>
    <w:p w14:paraId="7885A968">
      <w:pPr>
        <w:pStyle w:val="11"/>
        <w:spacing w:line="560" w:lineRule="exact"/>
        <w:ind w:firstLine="560" w:firstLineChars="200"/>
        <w:jc w:val="both"/>
        <w:rPr>
          <w:rFonts w:ascii="Times New Roman" w:hAnsi="Times New Roman" w:eastAsia="仿宋" w:cs="Times New Roman"/>
          <w:b/>
          <w:color w:val="auto"/>
          <w:sz w:val="28"/>
          <w:szCs w:val="28"/>
        </w:rPr>
      </w:pPr>
      <w:r>
        <w:rPr>
          <w:b/>
          <w:sz w:val="28"/>
          <w:szCs w:val="28"/>
        </w:rPr>
        <w:t>一、分配原则</w:t>
      </w:r>
    </w:p>
    <w:p w14:paraId="013A2B0F">
      <w:pPr>
        <w:pStyle w:val="11"/>
        <w:spacing w:line="560" w:lineRule="exact"/>
        <w:ind w:firstLine="560" w:firstLineChars="200"/>
        <w:jc w:val="both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</w:rPr>
        <w:t>1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. 在当年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</w:rPr>
        <w:t>招生目录的导师方可招生，招生专业类型与学院公布一致，原则上不跨一级学科招生；</w:t>
      </w:r>
    </w:p>
    <w:p w14:paraId="0160FD33">
      <w:pPr>
        <w:pStyle w:val="11"/>
        <w:spacing w:line="560" w:lineRule="exact"/>
        <w:ind w:firstLine="560" w:firstLineChars="200"/>
        <w:jc w:val="both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ascii="Times New Roman" w:hAnsi="Times New Roman" w:eastAsia="仿宋" w:cs="Times New Roman"/>
          <w:color w:val="auto"/>
          <w:sz w:val="28"/>
          <w:szCs w:val="28"/>
        </w:rPr>
        <w:t xml:space="preserve">2.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</w:rPr>
        <w:t>新聘硕士生导师首招上限1人；</w:t>
      </w:r>
    </w:p>
    <w:p w14:paraId="4A1038B7">
      <w:pPr>
        <w:pStyle w:val="11"/>
        <w:spacing w:line="560" w:lineRule="exact"/>
        <w:ind w:firstLine="560" w:firstLineChars="200"/>
        <w:jc w:val="both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ascii="Times New Roman" w:hAnsi="Times New Roman" w:eastAsia="仿宋" w:cs="Times New Roman"/>
          <w:color w:val="auto"/>
          <w:sz w:val="28"/>
          <w:szCs w:val="28"/>
        </w:rPr>
        <w:t>3. 招生学术型硕士上限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</w:rPr>
        <w:t>2人。</w:t>
      </w:r>
    </w:p>
    <w:p w14:paraId="49E0DEB0">
      <w:pPr>
        <w:pStyle w:val="11"/>
        <w:spacing w:line="560" w:lineRule="exact"/>
        <w:ind w:firstLine="560" w:firstLineChars="2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二、分配规则</w:t>
      </w:r>
    </w:p>
    <w:p w14:paraId="6650D574">
      <w:pPr>
        <w:pStyle w:val="11"/>
        <w:spacing w:line="560" w:lineRule="exact"/>
        <w:ind w:firstLine="560" w:firstLineChars="200"/>
        <w:jc w:val="both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</w:rPr>
        <w:t>1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 xml:space="preserve">.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</w:rPr>
        <w:t>教授（3名），副教授（2名），讲师（1名）。以上不含非全专硕、煤矿单招生指标；</w:t>
      </w:r>
    </w:p>
    <w:p w14:paraId="74F4271B">
      <w:pPr>
        <w:pStyle w:val="11"/>
        <w:spacing w:line="560" w:lineRule="exact"/>
        <w:ind w:firstLine="560" w:firstLineChars="200"/>
        <w:jc w:val="both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ascii="Times New Roman" w:hAnsi="Times New Roman" w:eastAsia="仿宋" w:cs="Times New Roman"/>
          <w:color w:val="auto"/>
          <w:sz w:val="28"/>
          <w:szCs w:val="28"/>
        </w:rPr>
        <w:t xml:space="preserve">2.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</w:rPr>
        <w:t>预聘/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准聘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</w:rPr>
        <w:t>教授招生指标等同于教授，预聘/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准聘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</w:rPr>
        <w:t>副教授招生指标等同于副教授。</w:t>
      </w:r>
    </w:p>
    <w:p w14:paraId="79652A5A">
      <w:pPr>
        <w:pStyle w:val="11"/>
        <w:spacing w:line="560" w:lineRule="exact"/>
        <w:ind w:firstLine="560" w:firstLineChars="200"/>
        <w:jc w:val="both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</w:t>
      </w:r>
      <w:r>
        <w:rPr>
          <w:b/>
          <w:sz w:val="28"/>
          <w:szCs w:val="28"/>
        </w:rPr>
        <w:t>、增加招生指标条件</w:t>
      </w:r>
    </w:p>
    <w:p w14:paraId="6F3199CB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符合下述条件之一，可上限增加1个招生指标（不累计）</w:t>
      </w:r>
    </w:p>
    <w:p w14:paraId="6F4AE2B4">
      <w:pPr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</w:rPr>
      </w:pPr>
      <w:r>
        <w:rPr>
          <w:rFonts w:hint="eastAsia" w:ascii="Times New Roman" w:hAnsi="Times New Roman" w:eastAsia="仿宋" w:cs="Times New Roman"/>
          <w:sz w:val="28"/>
          <w:szCs w:val="28"/>
        </w:rPr>
        <w:t>1</w:t>
      </w:r>
      <w:r>
        <w:rPr>
          <w:rFonts w:ascii="Times New Roman" w:hAnsi="Times New Roman" w:eastAsia="仿宋" w:cs="Times New Roman"/>
          <w:sz w:val="28"/>
          <w:szCs w:val="28"/>
        </w:rPr>
        <w:t xml:space="preserve">. 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</w:rPr>
        <w:t>指导学生获江苏省优秀硕士论文（仅限获奖年度）；</w:t>
      </w:r>
    </w:p>
    <w:p w14:paraId="18E64496">
      <w:pPr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 xml:space="preserve">2. 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</w:rPr>
        <w:t>承担国家重大/重点项目，在项目执行期内；获得国家级人才称号；</w:t>
      </w:r>
    </w:p>
    <w:p w14:paraId="06F60041">
      <w:pPr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 xml:space="preserve">3. 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</w:rPr>
        <w:t>招生周期（上一学年，即上一年9月1日到当年9月1日），到账纯科研经费100万以上。</w:t>
      </w:r>
    </w:p>
    <w:p w14:paraId="152C10E4">
      <w:pPr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</w:rPr>
      </w:pPr>
      <w:r>
        <w:rPr>
          <w:rFonts w:hint="eastAsia" w:ascii="Times New Roman" w:hAnsi="Times New Roman" w:eastAsia="仿宋" w:cs="Times New Roman"/>
          <w:kern w:val="0"/>
          <w:sz w:val="28"/>
          <w:szCs w:val="28"/>
        </w:rPr>
        <w:t>4</w:t>
      </w:r>
      <w:r>
        <w:rPr>
          <w:rFonts w:ascii="Times New Roman" w:hAnsi="Times New Roman" w:eastAsia="仿宋" w:cs="Times New Roman"/>
          <w:kern w:val="0"/>
          <w:sz w:val="28"/>
          <w:szCs w:val="28"/>
        </w:rPr>
        <w:t xml:space="preserve">. 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</w:rPr>
        <w:t>积极开展研究生招生宣传，并招收到外校推免生、本校推免生（不含本硕博和直博）。</w:t>
      </w:r>
    </w:p>
    <w:p w14:paraId="6338DA97">
      <w:pPr>
        <w:pStyle w:val="11"/>
        <w:spacing w:line="560" w:lineRule="exact"/>
        <w:ind w:firstLine="560" w:firstLineChars="200"/>
        <w:jc w:val="both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</w:t>
      </w:r>
      <w:r>
        <w:rPr>
          <w:b/>
          <w:sz w:val="28"/>
          <w:szCs w:val="28"/>
        </w:rPr>
        <w:t>、扣减招生指标条件</w:t>
      </w:r>
    </w:p>
    <w:p w14:paraId="70845FCA">
      <w:pPr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</w:rPr>
      </w:pPr>
      <w:r>
        <w:rPr>
          <w:rFonts w:ascii="Times New Roman" w:hAnsi="Times New Roman" w:eastAsia="仿宋" w:cs="Times New Roman"/>
          <w:kern w:val="0"/>
          <w:sz w:val="28"/>
          <w:szCs w:val="28"/>
        </w:rPr>
        <w:t xml:space="preserve">1. 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</w:rPr>
        <w:t>对抽检出现“存在问题学位论文”、学术不端、师德师风问题以及在研究生招生过程中存在违规行为等情况，根据具体情况对导师当年招生指标核减或停招两年，具体情况由化工学院研究生招生工作领导小组讨论确定。</w:t>
      </w:r>
    </w:p>
    <w:p w14:paraId="1F616B77">
      <w:pPr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</w:rPr>
      </w:pPr>
      <w:r>
        <w:rPr>
          <w:rFonts w:ascii="Times New Roman" w:hAnsi="Times New Roman" w:eastAsia="仿宋" w:cs="Times New Roman"/>
          <w:kern w:val="0"/>
          <w:sz w:val="28"/>
          <w:szCs w:val="28"/>
        </w:rPr>
        <w:t xml:space="preserve">2. 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</w:rPr>
        <w:t>上年度学位论文首次盲审评价为不通过，按不通过论文数量减招相应招生人数。</w:t>
      </w:r>
    </w:p>
    <w:p w14:paraId="600382AC">
      <w:pPr>
        <w:pStyle w:val="11"/>
        <w:spacing w:line="560" w:lineRule="exact"/>
        <w:ind w:firstLine="560" w:firstLineChars="200"/>
        <w:jc w:val="both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</w:t>
      </w:r>
      <w:r>
        <w:rPr>
          <w:b/>
          <w:sz w:val="28"/>
          <w:szCs w:val="28"/>
        </w:rPr>
        <w:t>、其他说明</w:t>
      </w:r>
    </w:p>
    <w:p w14:paraId="59D7137A">
      <w:pPr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</w:rPr>
      </w:pPr>
      <w:r>
        <w:rPr>
          <w:rFonts w:ascii="Times New Roman" w:hAnsi="Times New Roman" w:eastAsia="仿宋" w:cs="Times New Roman"/>
          <w:kern w:val="0"/>
          <w:sz w:val="28"/>
          <w:szCs w:val="28"/>
        </w:rPr>
        <w:t xml:space="preserve">1. 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</w:rPr>
        <w:t>专业型硕士应注重工程能力培养，学位论文应结合生产实际。 专业学位研究生校外合作导师按照关于印发《中国矿业大学专业学位研究生校外合作导师遴选与管理办法》的通知进行遴选。</w:t>
      </w:r>
    </w:p>
    <w:p w14:paraId="51806E05">
      <w:pPr>
        <w:ind w:firstLine="560" w:firstLineChars="200"/>
        <w:rPr>
          <w:rFonts w:hint="eastAsia" w:ascii="Times New Roman" w:hAnsi="Times New Roman" w:eastAsia="仿宋" w:cs="Times New Roman"/>
          <w:kern w:val="0"/>
          <w:sz w:val="28"/>
          <w:szCs w:val="28"/>
        </w:rPr>
      </w:pPr>
      <w:r>
        <w:rPr>
          <w:rFonts w:ascii="Times New Roman" w:hAnsi="Times New Roman" w:eastAsia="仿宋" w:cs="Times New Roman"/>
          <w:kern w:val="0"/>
          <w:sz w:val="28"/>
          <w:szCs w:val="28"/>
        </w:rPr>
        <w:t xml:space="preserve">2. 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</w:rPr>
        <w:t>本办法自颁布之日起执行，学院原有相关政策自然废止。本办法的最终解释权归中国矿业大学化工学院。</w:t>
      </w:r>
    </w:p>
    <w:p w14:paraId="3DA13452">
      <w:pPr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_GoBack"/>
      <w:bookmarkEnd w:id="2"/>
    </w:p>
    <w:p w14:paraId="22CB489C">
      <w:pPr>
        <w:ind w:firstLine="560" w:firstLineChars="200"/>
        <w:rPr>
          <w:rFonts w:hint="eastAsia" w:ascii="Times New Roman" w:hAnsi="Times New Roman" w:eastAsia="仿宋" w:cs="Times New Roman"/>
          <w:kern w:val="0"/>
          <w:sz w:val="28"/>
          <w:szCs w:val="28"/>
        </w:rPr>
      </w:pPr>
    </w:p>
    <w:p w14:paraId="351E6711">
      <w:pPr>
        <w:spacing w:line="520" w:lineRule="exact"/>
        <w:ind w:firstLine="640" w:firstLineChars="200"/>
        <w:rPr>
          <w:rFonts w:ascii="仿宋_GB2312" w:hAnsi="宋体" w:eastAsia="仿宋_GB2312" w:cs="宋体"/>
          <w:color w:val="222222"/>
          <w:kern w:val="0"/>
          <w:sz w:val="32"/>
          <w:szCs w:val="32"/>
        </w:rPr>
      </w:pPr>
    </w:p>
    <w:p w14:paraId="5E499C15"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222222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222222"/>
          <w:kern w:val="0"/>
          <w:sz w:val="32"/>
          <w:szCs w:val="32"/>
        </w:rPr>
        <w:t>此规定自2024年度开始实施。</w:t>
      </w:r>
    </w:p>
    <w:p w14:paraId="1FBDF3BD">
      <w:pPr>
        <w:spacing w:line="520" w:lineRule="exact"/>
        <w:ind w:firstLine="640" w:firstLineChars="200"/>
        <w:rPr>
          <w:rFonts w:ascii="仿宋_GB2312" w:hAnsi="宋体" w:eastAsia="仿宋_GB2312" w:cs="宋体"/>
          <w:color w:val="222222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222222"/>
          <w:kern w:val="0"/>
          <w:sz w:val="32"/>
          <w:szCs w:val="32"/>
        </w:rPr>
        <w:t xml:space="preserve"> </w:t>
      </w:r>
    </w:p>
    <w:p w14:paraId="246161B7"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222222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222222"/>
          <w:kern w:val="0"/>
          <w:sz w:val="32"/>
          <w:szCs w:val="32"/>
        </w:rPr>
        <w:t xml:space="preserve"> </w:t>
      </w:r>
    </w:p>
    <w:p w14:paraId="2CA2FA41">
      <w:pPr>
        <w:spacing w:line="520" w:lineRule="exact"/>
        <w:ind w:firstLine="480" w:firstLineChars="200"/>
        <w:rPr>
          <w:rFonts w:ascii="仿宋_GB2312" w:hAnsi="宋体" w:eastAsia="仿宋_GB2312" w:cs="宋体"/>
          <w:color w:val="222222"/>
          <w:kern w:val="0"/>
          <w:sz w:val="32"/>
          <w:szCs w:val="32"/>
        </w:rPr>
      </w:pPr>
      <w:r>
        <w:rPr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64770</wp:posOffset>
            </wp:positionV>
            <wp:extent cx="1748155" cy="1741170"/>
            <wp:effectExtent l="41910" t="53340" r="46355" b="2730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5521299">
                      <a:off x="0" y="0"/>
                      <a:ext cx="1748421" cy="17410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EE04C3F">
      <w:pPr>
        <w:spacing w:line="520" w:lineRule="exact"/>
        <w:rPr>
          <w:rFonts w:ascii="仿宋_GB2312" w:hAnsi="宋体" w:eastAsia="仿宋_GB2312" w:cs="宋体"/>
          <w:color w:val="222222"/>
          <w:kern w:val="0"/>
          <w:sz w:val="32"/>
          <w:szCs w:val="32"/>
        </w:rPr>
      </w:pPr>
    </w:p>
    <w:p w14:paraId="0C672F8C">
      <w:pPr>
        <w:jc w:val="left"/>
        <w:rPr>
          <w:sz w:val="24"/>
        </w:rPr>
      </w:pPr>
    </w:p>
    <w:p w14:paraId="6C2E87D0">
      <w:pPr>
        <w:jc w:val="left"/>
        <w:rPr>
          <w:sz w:val="24"/>
        </w:rPr>
      </w:pPr>
    </w:p>
    <w:p w14:paraId="3F038F24">
      <w:pPr>
        <w:jc w:val="left"/>
        <w:rPr>
          <w:sz w:val="24"/>
        </w:rPr>
      </w:pPr>
    </w:p>
    <w:p w14:paraId="7050A458">
      <w:pPr>
        <w:spacing w:line="520" w:lineRule="exact"/>
        <w:ind w:firstLine="480" w:firstLineChars="200"/>
        <w:rPr>
          <w:rFonts w:ascii="仿宋_GB2312" w:hAnsi="宋体" w:eastAsia="仿宋_GB2312" w:cs="宋体"/>
          <w:color w:val="222222"/>
          <w:kern w:val="0"/>
          <w:sz w:val="32"/>
          <w:szCs w:val="32"/>
        </w:rPr>
      </w:pPr>
      <w:r>
        <w:rPr>
          <w:rFonts w:hint="eastAsia"/>
          <w:sz w:val="24"/>
        </w:rPr>
        <w:t xml:space="preserve">                                      </w:t>
      </w:r>
      <w:r>
        <w:rPr>
          <w:rFonts w:hint="eastAsia" w:ascii="仿宋_GB2312" w:hAnsi="宋体" w:eastAsia="仿宋_GB2312" w:cs="宋体"/>
          <w:color w:val="222222"/>
          <w:kern w:val="0"/>
          <w:sz w:val="32"/>
          <w:szCs w:val="32"/>
        </w:rPr>
        <w:t>中国矿业大学化工学院</w:t>
      </w:r>
    </w:p>
    <w:p w14:paraId="58B64A11">
      <w:pPr>
        <w:spacing w:line="520" w:lineRule="exact"/>
        <w:ind w:firstLine="640" w:firstLineChars="200"/>
        <w:rPr>
          <w:sz w:val="32"/>
          <w:szCs w:val="32"/>
        </w:rPr>
      </w:pPr>
      <w:r>
        <w:rPr>
          <w:rFonts w:hint="eastAsia" w:ascii="仿宋_GB2312" w:hAnsi="宋体" w:eastAsia="仿宋_GB2312" w:cs="宋体"/>
          <w:color w:val="222222"/>
          <w:kern w:val="0"/>
          <w:sz w:val="32"/>
          <w:szCs w:val="32"/>
        </w:rPr>
        <w:t xml:space="preserve">                               2024年</w:t>
      </w:r>
      <w:r>
        <w:rPr>
          <w:rFonts w:ascii="仿宋_GB2312" w:hAnsi="宋体" w:eastAsia="仿宋_GB2312" w:cs="宋体"/>
          <w:color w:val="222222"/>
          <w:kern w:val="0"/>
          <w:sz w:val="32"/>
          <w:szCs w:val="32"/>
        </w:rPr>
        <w:t>4</w:t>
      </w:r>
      <w:r>
        <w:rPr>
          <w:rFonts w:hint="eastAsia" w:ascii="仿宋_GB2312" w:hAnsi="宋体" w:eastAsia="仿宋_GB2312" w:cs="宋体"/>
          <w:color w:val="222222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color w:val="222222"/>
          <w:kern w:val="0"/>
          <w:sz w:val="32"/>
          <w:szCs w:val="32"/>
          <w:lang w:val="en-US" w:eastAsia="zh-CN"/>
        </w:rPr>
        <w:t>25</w:t>
      </w:r>
      <w:r>
        <w:rPr>
          <w:rFonts w:hint="eastAsia" w:ascii="仿宋_GB2312" w:hAnsi="宋体" w:eastAsia="仿宋_GB2312" w:cs="宋体"/>
          <w:color w:val="222222"/>
          <w:kern w:val="0"/>
          <w:sz w:val="32"/>
          <w:szCs w:val="32"/>
        </w:rPr>
        <w:t>日</w:t>
      </w:r>
      <w:r>
        <w:rPr>
          <w:rFonts w:hint="eastAsia"/>
          <w:sz w:val="32"/>
          <w:szCs w:val="32"/>
        </w:rPr>
        <w:t xml:space="preserve">  </w:t>
      </w:r>
    </w:p>
    <w:p w14:paraId="52D6F1E5">
      <w:pPr>
        <w:spacing w:line="360" w:lineRule="auto"/>
        <w:ind w:right="240" w:firstLine="5880" w:firstLineChars="2100"/>
        <w:jc w:val="right"/>
        <w:rPr>
          <w:rFonts w:ascii="宋体" w:hAnsi="宋体" w:eastAsia="宋体"/>
          <w:color w:val="333333"/>
          <w:sz w:val="24"/>
          <w:shd w:val="clear" w:color="auto" w:fill="FFFFFF"/>
        </w:rPr>
      </w:pPr>
      <w:r>
        <w:rPr>
          <w:rFonts w:hint="eastAsia"/>
          <w:sz w:val="28"/>
          <w:szCs w:val="28"/>
        </w:rPr>
        <w:t xml:space="preserve">                                 </w:t>
      </w:r>
    </w:p>
    <w:sectPr>
      <w:pgSz w:w="11906" w:h="16838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AwN2Q4MGVjMDE5ZjQ3NDdhZWI0MWEyODI0YjBmNWYifQ=="/>
  </w:docVars>
  <w:rsids>
    <w:rsidRoot w:val="78237C2A"/>
    <w:rsid w:val="00122349"/>
    <w:rsid w:val="00124FE6"/>
    <w:rsid w:val="002414D9"/>
    <w:rsid w:val="002439A1"/>
    <w:rsid w:val="00253AE5"/>
    <w:rsid w:val="00403AC5"/>
    <w:rsid w:val="00856C2D"/>
    <w:rsid w:val="00963622"/>
    <w:rsid w:val="009E4BBB"/>
    <w:rsid w:val="00A058D7"/>
    <w:rsid w:val="00A44407"/>
    <w:rsid w:val="00A9721C"/>
    <w:rsid w:val="00B81E6D"/>
    <w:rsid w:val="00C87D33"/>
    <w:rsid w:val="00E14B82"/>
    <w:rsid w:val="00EA456E"/>
    <w:rsid w:val="0DB93401"/>
    <w:rsid w:val="0FBE5CAB"/>
    <w:rsid w:val="10C8514F"/>
    <w:rsid w:val="12CB51BD"/>
    <w:rsid w:val="1C784838"/>
    <w:rsid w:val="1E2E71AE"/>
    <w:rsid w:val="23153C77"/>
    <w:rsid w:val="251A4825"/>
    <w:rsid w:val="309B3295"/>
    <w:rsid w:val="348942F0"/>
    <w:rsid w:val="3DA43330"/>
    <w:rsid w:val="4F9A3F89"/>
    <w:rsid w:val="51560DAC"/>
    <w:rsid w:val="55526EF3"/>
    <w:rsid w:val="602A6416"/>
    <w:rsid w:val="62C01B37"/>
    <w:rsid w:val="631352F0"/>
    <w:rsid w:val="6B8B157E"/>
    <w:rsid w:val="6BFE4257"/>
    <w:rsid w:val="743838D5"/>
    <w:rsid w:val="78237C2A"/>
    <w:rsid w:val="79B92FA4"/>
    <w:rsid w:val="7D933D4E"/>
    <w:rsid w:val="7DFE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autoRedefine/>
    <w:qFormat/>
    <w:uiPriority w:val="0"/>
    <w:pPr>
      <w:ind w:left="100" w:leftChars="2500"/>
    </w:p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autoRedefine/>
    <w:qFormat/>
    <w:uiPriority w:val="99"/>
    <w:pPr>
      <w:ind w:firstLine="420" w:firstLineChars="200"/>
    </w:pPr>
  </w:style>
  <w:style w:type="character" w:customStyle="1" w:styleId="10">
    <w:name w:val="日期 字符"/>
    <w:basedOn w:val="6"/>
    <w:link w:val="2"/>
    <w:uiPriority w:val="0"/>
    <w:rPr>
      <w:kern w:val="2"/>
      <w:sz w:val="21"/>
      <w:szCs w:val="24"/>
    </w:rPr>
  </w:style>
  <w:style w:type="paragraph" w:customStyle="1" w:styleId="11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微软雅黑" w:eastAsia="微软雅黑" w:cs="微软雅黑" w:hAnsiTheme="minorHAnsi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2179</Words>
  <Characters>2214</Characters>
  <Lines>6</Lines>
  <Paragraphs>1</Paragraphs>
  <TotalTime>0</TotalTime>
  <ScaleCrop>false</ScaleCrop>
  <LinksUpToDate>false</LinksUpToDate>
  <CharactersWithSpaces>2355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2021-06-18T02:52:00Z</dcterms:created>
  <dc:creator>Administrator</dc:creator>
  <cp:lastModifiedBy>万翼</cp:lastModifiedBy>
  <cp:lastPrinted>2023-04-19T02:13:00Z</cp:lastPrinted>
  <dcterms:modified xsi:type="dcterms:W3CDTF">2025-10-10T09:02:01Z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E9B6042C31914283BBAA7BA4F223DBDC_13</vt:lpwstr>
  </property>
  <property fmtid="{D5CDD505-2E9C-101B-9397-08002B2CF9AE}" pid="4" name="KSOTemplateDocerSaveRecord">
    <vt:lpwstr>eyJoZGlkIjoiMDAwN2Q4MGVjMDE5ZjQ3NDdhZWI0MWEyODI0YjBmNWYiLCJ1c2VySWQiOiIxNjIyNDY5MDc3In0=</vt:lpwstr>
  </property>
</Properties>
</file>