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4A132E">
      <w:pPr>
        <w:snapToGrid w:val="0"/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r>
        <w:rPr>
          <w:rFonts w:ascii="黑体" w:hAnsi="黑体" w:eastAsia="黑体"/>
          <w:sz w:val="32"/>
          <w:szCs w:val="32"/>
        </w:rPr>
        <w:t>级本科生矿业类专业分流实施细则</w:t>
      </w:r>
    </w:p>
    <w:p w14:paraId="6F2ABE46">
      <w:pPr>
        <w:snapToGrid w:val="0"/>
        <w:spacing w:line="360" w:lineRule="auto"/>
        <w:rPr>
          <w:rFonts w:ascii="仿宋" w:hAnsi="仿宋" w:eastAsia="仿宋"/>
          <w:sz w:val="24"/>
          <w:szCs w:val="24"/>
        </w:rPr>
      </w:pPr>
    </w:p>
    <w:p w14:paraId="28ECE0AE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ascii="仿宋" w:hAnsi="仿宋" w:eastAsia="仿宋"/>
          <w:sz w:val="24"/>
          <w:szCs w:val="24"/>
        </w:rPr>
        <w:t>中国矿业大学202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5</w:t>
      </w:r>
      <w:r>
        <w:rPr>
          <w:rFonts w:ascii="仿宋" w:hAnsi="仿宋" w:eastAsia="仿宋"/>
          <w:sz w:val="24"/>
          <w:szCs w:val="24"/>
        </w:rPr>
        <w:t>级矿业类学生按照跨学院大类招生方案录取，第一学期学习结束后，实行大类招生学生专业方向分流培养。根据《中国矿业大学大类招生学生专业分流指导意见（试行）》精神，按照“公平、公正、公开”的原则，</w:t>
      </w:r>
      <w:r>
        <w:rPr>
          <w:rFonts w:hint="eastAsia" w:ascii="仿宋" w:hAnsi="仿宋" w:eastAsia="仿宋"/>
          <w:sz w:val="24"/>
          <w:szCs w:val="24"/>
          <w:lang w:eastAsia="zh-CN"/>
        </w:rPr>
        <w:t>经矿业工程学院与化工学院共同协商并达成一致，特制定矿业类专业分流实施细则。</w:t>
      </w:r>
    </w:p>
    <w:p w14:paraId="7A82B36D">
      <w:pPr>
        <w:snapToGrid w:val="0"/>
        <w:spacing w:line="360" w:lineRule="auto"/>
        <w:ind w:firstLine="482"/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  <w:b/>
          <w:sz w:val="24"/>
          <w:szCs w:val="24"/>
        </w:rPr>
        <w:t>一</w:t>
      </w:r>
      <w:r>
        <w:rPr>
          <w:rFonts w:hint="eastAsia" w:ascii="仿宋" w:hAnsi="仿宋" w:eastAsia="仿宋"/>
          <w:b/>
          <w:sz w:val="24"/>
          <w:szCs w:val="24"/>
        </w:rPr>
        <w:t>、</w:t>
      </w:r>
      <w:r>
        <w:rPr>
          <w:rFonts w:ascii="仿宋" w:hAnsi="仿宋" w:eastAsia="仿宋"/>
          <w:b/>
          <w:sz w:val="24"/>
          <w:szCs w:val="24"/>
        </w:rPr>
        <w:t>专业分流工作领导小组</w:t>
      </w:r>
    </w:p>
    <w:p w14:paraId="2641F575">
      <w:pPr>
        <w:snapToGrid w:val="0"/>
        <w:spacing w:line="360" w:lineRule="auto"/>
        <w:ind w:left="1620" w:leftChars="200" w:hanging="1200" w:hangingChars="5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ascii="仿宋" w:hAnsi="仿宋" w:eastAsia="仿宋"/>
          <w:sz w:val="24"/>
          <w:szCs w:val="24"/>
        </w:rPr>
        <w:t>组  长：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王思华  </w:t>
      </w:r>
      <w:r>
        <w:rPr>
          <w:rFonts w:hint="eastAsia" w:ascii="仿宋" w:hAnsi="仿宋" w:eastAsia="仿宋"/>
          <w:sz w:val="24"/>
          <w:szCs w:val="24"/>
        </w:rPr>
        <w:t>周长春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黄艳利  </w:t>
      </w:r>
      <w:r>
        <w:rPr>
          <w:rFonts w:hint="eastAsia" w:ascii="仿宋" w:hAnsi="仿宋" w:eastAsia="仿宋"/>
          <w:sz w:val="24"/>
          <w:szCs w:val="24"/>
        </w:rPr>
        <w:t>张海军 </w:t>
      </w:r>
    </w:p>
    <w:p w14:paraId="1F6B1996">
      <w:pPr>
        <w:snapToGrid w:val="0"/>
        <w:spacing w:line="360" w:lineRule="auto"/>
        <w:ind w:left="1620" w:leftChars="200" w:hanging="1200" w:hangingChars="5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副组长：袁  永  彭耀丽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 xml:space="preserve">高世杰 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马成成</w:t>
      </w:r>
    </w:p>
    <w:p w14:paraId="08D95AAA">
      <w:pPr>
        <w:snapToGrid w:val="0"/>
        <w:spacing w:line="360" w:lineRule="auto"/>
        <w:ind w:left="1620" w:leftChars="200" w:hanging="1200" w:hangingChars="5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秘  书：赵俊芳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 xml:space="preserve">  </w:t>
      </w:r>
      <w:r>
        <w:rPr>
          <w:rFonts w:hint="eastAsia" w:ascii="仿宋" w:hAnsi="仿宋" w:eastAsia="仿宋"/>
          <w:sz w:val="24"/>
          <w:szCs w:val="24"/>
        </w:rPr>
        <w:t>张茂银</w:t>
      </w:r>
    </w:p>
    <w:p w14:paraId="792FD44A">
      <w:pPr>
        <w:snapToGrid w:val="0"/>
        <w:spacing w:line="360" w:lineRule="auto"/>
        <w:ind w:left="1620" w:leftChars="200" w:hanging="1200" w:hangingChars="500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成  员：屠世浩、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谢广元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范钢伟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张  强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廖寅飞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李玉鹏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张  源</w:t>
      </w:r>
      <w:r>
        <w:rPr>
          <w:rFonts w:hint="eastAsia" w:ascii="仿宋" w:hAnsi="仿宋" w:eastAsia="仿宋"/>
          <w:sz w:val="24"/>
          <w:szCs w:val="24"/>
        </w:rPr>
        <w:t>、朱  清</w:t>
      </w:r>
      <w:r>
        <w:rPr>
          <w:rFonts w:hint="eastAsia" w:ascii="仿宋" w:hAnsi="仿宋" w:eastAsia="仿宋"/>
          <w:sz w:val="24"/>
          <w:szCs w:val="24"/>
          <w:lang w:eastAsia="zh-CN"/>
        </w:rPr>
        <w:t>、</w:t>
      </w:r>
    </w:p>
    <w:p w14:paraId="23AD159A">
      <w:pPr>
        <w:snapToGrid w:val="0"/>
        <w:spacing w:line="360" w:lineRule="auto"/>
        <w:ind w:left="1618" w:leftChars="656" w:hanging="240" w:hangingChars="1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王慧娟、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刘  洋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李  双</w:t>
      </w:r>
    </w:p>
    <w:p w14:paraId="3628F1C8">
      <w:pPr>
        <w:snapToGrid w:val="0"/>
        <w:spacing w:line="360" w:lineRule="auto"/>
        <w:ind w:firstLine="482"/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  <w:b/>
          <w:sz w:val="24"/>
          <w:szCs w:val="24"/>
        </w:rPr>
        <w:t>二、专业选择及录取原则</w:t>
      </w:r>
    </w:p>
    <w:p w14:paraId="6C1CD9F8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1、各专业录取工作遵循“自主申报、双向选择、择优录取、适当调整”的原则开展。</w:t>
      </w:r>
    </w:p>
    <w:p w14:paraId="046BE857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2、录取过程坚持志愿优先原则，依据学生填报的志愿分批次进行。</w:t>
      </w:r>
    </w:p>
    <w:p w14:paraId="5666ED85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3、同一志愿内，以学习成绩为优先考量，按分数从高到低依次录取；学习成绩以第一学期所有必修课的加权平均分计算（精确至小数点后三位），若成绩相同，则依据高等数学A（1）与高等数学A（2）的加权平均成绩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从高到低排序录取。</w:t>
      </w:r>
    </w:p>
    <w:p w14:paraId="46998C38">
      <w:pPr>
        <w:snapToGrid w:val="0"/>
        <w:spacing w:line="360" w:lineRule="auto"/>
        <w:ind w:firstLine="482"/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  <w:b/>
          <w:sz w:val="24"/>
          <w:szCs w:val="24"/>
        </w:rPr>
        <w:t>三、专业班级设置与人数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410"/>
        <w:gridCol w:w="1417"/>
        <w:gridCol w:w="1701"/>
        <w:gridCol w:w="1985"/>
      </w:tblGrid>
      <w:tr w14:paraId="63D2D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134" w:type="dxa"/>
            <w:vAlign w:val="center"/>
          </w:tcPr>
          <w:p w14:paraId="151C0219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序号</w:t>
            </w:r>
          </w:p>
        </w:tc>
        <w:tc>
          <w:tcPr>
            <w:tcW w:w="2410" w:type="dxa"/>
            <w:vAlign w:val="center"/>
          </w:tcPr>
          <w:p w14:paraId="1DEEA5E5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专业名称</w:t>
            </w:r>
          </w:p>
        </w:tc>
        <w:tc>
          <w:tcPr>
            <w:tcW w:w="1417" w:type="dxa"/>
            <w:vAlign w:val="center"/>
          </w:tcPr>
          <w:p w14:paraId="654C6E78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班级数量</w:t>
            </w:r>
          </w:p>
        </w:tc>
        <w:tc>
          <w:tcPr>
            <w:tcW w:w="1701" w:type="dxa"/>
            <w:vAlign w:val="center"/>
          </w:tcPr>
          <w:p w14:paraId="1CF342D1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专业总人数</w:t>
            </w:r>
          </w:p>
          <w:p w14:paraId="308AF8CA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（不超过）</w:t>
            </w:r>
          </w:p>
        </w:tc>
        <w:tc>
          <w:tcPr>
            <w:tcW w:w="1985" w:type="dxa"/>
            <w:vAlign w:val="center"/>
          </w:tcPr>
          <w:p w14:paraId="7417F7DF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备注</w:t>
            </w:r>
          </w:p>
        </w:tc>
      </w:tr>
      <w:tr w14:paraId="38486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134" w:type="dxa"/>
            <w:vAlign w:val="center"/>
          </w:tcPr>
          <w:p w14:paraId="5BB2E94F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</w:t>
            </w:r>
          </w:p>
        </w:tc>
        <w:tc>
          <w:tcPr>
            <w:tcW w:w="2410" w:type="dxa"/>
            <w:vAlign w:val="center"/>
          </w:tcPr>
          <w:p w14:paraId="1A92A4F5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采矿工程</w:t>
            </w:r>
          </w:p>
        </w:tc>
        <w:tc>
          <w:tcPr>
            <w:tcW w:w="1417" w:type="dxa"/>
            <w:vAlign w:val="center"/>
          </w:tcPr>
          <w:p w14:paraId="360C23A7"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1" w:type="dxa"/>
            <w:vAlign w:val="center"/>
          </w:tcPr>
          <w:p w14:paraId="7D6732A9">
            <w:pPr>
              <w:snapToGrid w:val="0"/>
              <w:spacing w:line="360" w:lineRule="exact"/>
              <w:jc w:val="center"/>
              <w:rPr>
                <w:rFonts w:hint="default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105</w:t>
            </w:r>
          </w:p>
        </w:tc>
        <w:tc>
          <w:tcPr>
            <w:tcW w:w="1985" w:type="dxa"/>
            <w:vAlign w:val="center"/>
          </w:tcPr>
          <w:p w14:paraId="62D21B80"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择优录取女生限</w:t>
            </w: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仿宋" w:hAnsi="仿宋" w:eastAsia="仿宋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 w14:paraId="62180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134" w:type="dxa"/>
            <w:vAlign w:val="center"/>
          </w:tcPr>
          <w:p w14:paraId="19A73268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2</w:t>
            </w:r>
          </w:p>
        </w:tc>
        <w:tc>
          <w:tcPr>
            <w:tcW w:w="2410" w:type="dxa"/>
            <w:vAlign w:val="center"/>
          </w:tcPr>
          <w:p w14:paraId="0C914AF0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智能采矿工程</w:t>
            </w:r>
          </w:p>
        </w:tc>
        <w:tc>
          <w:tcPr>
            <w:tcW w:w="1417" w:type="dxa"/>
            <w:vAlign w:val="center"/>
          </w:tcPr>
          <w:p w14:paraId="75983B72"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01" w:type="dxa"/>
            <w:vAlign w:val="center"/>
          </w:tcPr>
          <w:p w14:paraId="694E4F1E">
            <w:pPr>
              <w:snapToGrid w:val="0"/>
              <w:spacing w:line="360" w:lineRule="exact"/>
              <w:jc w:val="center"/>
              <w:rPr>
                <w:rFonts w:hint="default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1985" w:type="dxa"/>
            <w:vAlign w:val="center"/>
          </w:tcPr>
          <w:p w14:paraId="7A099DA2"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择优录取女生限4</w:t>
            </w:r>
            <w:r>
              <w:rPr>
                <w:rFonts w:ascii="仿宋" w:hAnsi="仿宋" w:eastAsia="仿宋"/>
                <w:b w:val="0"/>
                <w:bCs w:val="0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 w14:paraId="44E26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34" w:type="dxa"/>
            <w:vAlign w:val="center"/>
          </w:tcPr>
          <w:p w14:paraId="0BD3D6C0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3</w:t>
            </w:r>
          </w:p>
        </w:tc>
        <w:tc>
          <w:tcPr>
            <w:tcW w:w="2410" w:type="dxa"/>
            <w:vAlign w:val="center"/>
          </w:tcPr>
          <w:p w14:paraId="7FA9FB1C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工业工程</w:t>
            </w:r>
          </w:p>
        </w:tc>
        <w:tc>
          <w:tcPr>
            <w:tcW w:w="1417" w:type="dxa"/>
            <w:vAlign w:val="center"/>
          </w:tcPr>
          <w:p w14:paraId="27B1227A"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1" w:type="dxa"/>
            <w:vAlign w:val="center"/>
          </w:tcPr>
          <w:p w14:paraId="3100A418">
            <w:pPr>
              <w:snapToGrid w:val="0"/>
              <w:spacing w:line="360" w:lineRule="exact"/>
              <w:jc w:val="center"/>
              <w:rPr>
                <w:rFonts w:hint="default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1985" w:type="dxa"/>
            <w:vAlign w:val="center"/>
          </w:tcPr>
          <w:p w14:paraId="486EB25F"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012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134" w:type="dxa"/>
            <w:vAlign w:val="center"/>
          </w:tcPr>
          <w:p w14:paraId="493D0045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4</w:t>
            </w:r>
          </w:p>
        </w:tc>
        <w:tc>
          <w:tcPr>
            <w:tcW w:w="2410" w:type="dxa"/>
            <w:vAlign w:val="center"/>
          </w:tcPr>
          <w:p w14:paraId="075322EF">
            <w:pPr>
              <w:snapToGrid w:val="0"/>
              <w:spacing w:line="3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新能源科学与工程</w:t>
            </w:r>
          </w:p>
        </w:tc>
        <w:tc>
          <w:tcPr>
            <w:tcW w:w="1417" w:type="dxa"/>
            <w:vAlign w:val="center"/>
          </w:tcPr>
          <w:p w14:paraId="4AFD778C"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1" w:type="dxa"/>
            <w:vAlign w:val="center"/>
          </w:tcPr>
          <w:p w14:paraId="24C2F006">
            <w:pPr>
              <w:snapToGrid w:val="0"/>
              <w:spacing w:line="360" w:lineRule="exact"/>
              <w:jc w:val="center"/>
              <w:rPr>
                <w:rFonts w:hint="default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1985" w:type="dxa"/>
            <w:vAlign w:val="center"/>
          </w:tcPr>
          <w:p w14:paraId="7912B3E8"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F2C8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134" w:type="dxa"/>
            <w:vAlign w:val="center"/>
          </w:tcPr>
          <w:p w14:paraId="1661AA97"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5</w:t>
            </w:r>
          </w:p>
        </w:tc>
        <w:tc>
          <w:tcPr>
            <w:tcW w:w="2410" w:type="dxa"/>
            <w:vAlign w:val="center"/>
          </w:tcPr>
          <w:p w14:paraId="597A9937"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矿物加工工程</w:t>
            </w:r>
          </w:p>
        </w:tc>
        <w:tc>
          <w:tcPr>
            <w:tcW w:w="1417" w:type="dxa"/>
            <w:vAlign w:val="center"/>
          </w:tcPr>
          <w:p w14:paraId="2E98FD9B">
            <w:pPr>
              <w:snapToGrid w:val="0"/>
              <w:spacing w:line="360" w:lineRule="exact"/>
              <w:jc w:val="center"/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1" w:type="dxa"/>
            <w:vAlign w:val="center"/>
          </w:tcPr>
          <w:p w14:paraId="44A894C7">
            <w:pPr>
              <w:snapToGrid w:val="0"/>
              <w:spacing w:line="360" w:lineRule="exact"/>
              <w:jc w:val="center"/>
              <w:rPr>
                <w:rFonts w:hint="default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116</w:t>
            </w:r>
          </w:p>
        </w:tc>
        <w:tc>
          <w:tcPr>
            <w:tcW w:w="1985" w:type="dxa"/>
            <w:vAlign w:val="center"/>
          </w:tcPr>
          <w:p w14:paraId="48910EC5">
            <w:pPr>
              <w:snapToGrid w:val="0"/>
              <w:spacing w:line="360" w:lineRule="exact"/>
              <w:jc w:val="center"/>
              <w:rPr>
                <w:rFonts w:ascii="仿宋" w:hAnsi="仿宋" w:eastAsia="仿宋"/>
                <w:b w:val="0"/>
                <w:bCs w:val="0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67DBB9EE">
      <w:pPr>
        <w:snapToGrid w:val="0"/>
        <w:spacing w:line="360" w:lineRule="auto"/>
        <w:ind w:firstLine="482"/>
        <w:rPr>
          <w:rFonts w:hint="eastAsia" w:ascii="仿宋" w:hAnsi="仿宋" w:eastAsia="仿宋"/>
          <w:b w:val="0"/>
          <w:bCs/>
          <w:color w:val="auto"/>
          <w:sz w:val="24"/>
          <w:szCs w:val="24"/>
          <w:lang w:val="en-US" w:eastAsia="zh-CN"/>
        </w:rPr>
      </w:pPr>
    </w:p>
    <w:p w14:paraId="240606E6">
      <w:pPr>
        <w:snapToGrid w:val="0"/>
        <w:spacing w:line="360" w:lineRule="auto"/>
        <w:rPr>
          <w:rFonts w:ascii="仿宋" w:hAnsi="仿宋" w:eastAsia="仿宋"/>
          <w:b/>
          <w:sz w:val="24"/>
          <w:szCs w:val="24"/>
        </w:rPr>
      </w:pPr>
    </w:p>
    <w:p w14:paraId="0DB469BC">
      <w:pPr>
        <w:snapToGrid w:val="0"/>
        <w:spacing w:line="360" w:lineRule="auto"/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ascii="仿宋" w:hAnsi="仿宋" w:eastAsia="仿宋"/>
          <w:b/>
          <w:sz w:val="24"/>
          <w:szCs w:val="24"/>
        </w:rPr>
        <w:t>四、工作程序</w:t>
      </w:r>
    </w:p>
    <w:p w14:paraId="41A897D9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1、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年级辅导员组织学生在规定时间内填报志愿，每人最多可填报五个志愿，须于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2026年4月10日前完成。</w:t>
      </w:r>
    </w:p>
    <w:p w14:paraId="6B31DF5F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2、学院将依据各专业拟录取人数，按照学生填报的第一志愿从高分到低分依次录取；第一志愿未被录取的学生，将按第二、三、四、五志愿顺序进行录取与调剂，须于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202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6年4月15日前完成。</w:t>
      </w:r>
    </w:p>
    <w:p w14:paraId="35F2CC1B">
      <w:pPr>
        <w:snapToGrid w:val="0"/>
        <w:spacing w:line="360" w:lineRule="auto"/>
        <w:ind w:firstLine="482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五</w:t>
      </w:r>
      <w:r>
        <w:rPr>
          <w:rFonts w:ascii="仿宋" w:hAnsi="仿宋" w:eastAsia="仿宋"/>
          <w:b/>
          <w:sz w:val="24"/>
          <w:szCs w:val="24"/>
        </w:rPr>
        <w:t>、工作实施</w:t>
      </w:r>
    </w:p>
    <w:p w14:paraId="2EB42536">
      <w:pPr>
        <w:snapToGrid w:val="0"/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1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学院公布</w:t>
      </w:r>
      <w:r>
        <w:rPr>
          <w:rFonts w:hint="eastAsia" w:ascii="仿宋" w:hAnsi="仿宋" w:eastAsia="仿宋"/>
          <w:sz w:val="24"/>
          <w:szCs w:val="24"/>
          <w:lang w:eastAsia="zh-CN"/>
        </w:rPr>
        <w:t>专业</w:t>
      </w:r>
      <w:r>
        <w:rPr>
          <w:rFonts w:ascii="仿宋" w:hAnsi="仿宋" w:eastAsia="仿宋"/>
          <w:sz w:val="24"/>
          <w:szCs w:val="24"/>
        </w:rPr>
        <w:t>分流实施细则。</w:t>
      </w:r>
    </w:p>
    <w:p w14:paraId="5D3BDF5E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2、教学办负责提供学生第一学期加权平均成绩；辅导员组织学生以班级为单位填写《202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5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  <w:lang w:eastAsia="zh-CN"/>
        </w:rPr>
        <w:t>级矿业类专业分流志愿填报表》。</w:t>
      </w:r>
    </w:p>
    <w:p w14:paraId="59B9836B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3、学生须在规定时间内，按照学院统一设计的表格以班级为单位填报志愿，经辅导员或班主任签名后上报学院（需同时提交电子版与纸质版，</w:t>
      </w:r>
      <w:r>
        <w:rPr>
          <w:rFonts w:hint="eastAsia" w:ascii="仿宋" w:hAnsi="仿宋" w:eastAsia="仿宋"/>
          <w:b w:val="0"/>
          <w:bCs w:val="0"/>
          <w:sz w:val="24"/>
          <w:szCs w:val="24"/>
          <w:lang w:eastAsia="zh-CN"/>
        </w:rPr>
        <w:t>纸质版须由本人签名确认</w:t>
      </w:r>
      <w:r>
        <w:rPr>
          <w:rFonts w:hint="eastAsia" w:ascii="仿宋" w:hAnsi="仿宋" w:eastAsia="仿宋"/>
          <w:sz w:val="24"/>
          <w:szCs w:val="24"/>
          <w:lang w:eastAsia="zh-CN"/>
        </w:rPr>
        <w:t>）。</w:t>
      </w:r>
    </w:p>
    <w:p w14:paraId="03ABE300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4、学院根据学生填报的志愿及相关要求开展录取工作，学生分流结果提交专业分流工作领导小组审核；审核通过后，于</w:t>
      </w: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202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6年4月16日至18日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在矿业工程学院与化工学院官网公示。</w:t>
      </w:r>
    </w:p>
    <w:p w14:paraId="4CC8D04A">
      <w:pPr>
        <w:snapToGrid w:val="0"/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5</w:t>
      </w:r>
      <w:r>
        <w:rPr>
          <w:rFonts w:hint="eastAsia" w:ascii="仿宋" w:hAnsi="仿宋" w:eastAsia="仿宋"/>
          <w:sz w:val="24"/>
          <w:szCs w:val="24"/>
        </w:rPr>
        <w:t>、</w:t>
      </w:r>
      <w:r>
        <w:rPr>
          <w:rFonts w:ascii="仿宋" w:hAnsi="仿宋" w:eastAsia="仿宋"/>
          <w:sz w:val="24"/>
          <w:szCs w:val="24"/>
        </w:rPr>
        <w:t>公示结束</w:t>
      </w:r>
      <w:r>
        <w:rPr>
          <w:rFonts w:hint="eastAsia" w:ascii="仿宋" w:hAnsi="仿宋" w:eastAsia="仿宋"/>
          <w:sz w:val="24"/>
          <w:szCs w:val="24"/>
          <w:lang w:eastAsia="zh-CN"/>
        </w:rPr>
        <w:t>且</w:t>
      </w:r>
      <w:r>
        <w:rPr>
          <w:rFonts w:ascii="仿宋" w:hAnsi="仿宋" w:eastAsia="仿宋"/>
          <w:sz w:val="24"/>
          <w:szCs w:val="24"/>
        </w:rPr>
        <w:t>无异议后，上报教务部备案。</w:t>
      </w:r>
    </w:p>
    <w:p w14:paraId="5EE688FE">
      <w:pPr>
        <w:snapToGrid w:val="0"/>
        <w:spacing w:line="360" w:lineRule="auto"/>
        <w:ind w:firstLine="480"/>
        <w:rPr>
          <w:rFonts w:hint="eastAsia" w:eastAsia="宋体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6、学生专业一经确定分流，原则上不再调整；进入分流专业后，其学费、学制、培养方案等均按该专业相关规定执行。</w:t>
      </w:r>
    </w:p>
    <w:p w14:paraId="69AC09CA">
      <w:pPr>
        <w:snapToGrid w:val="0"/>
        <w:spacing w:line="360" w:lineRule="auto"/>
        <w:ind w:firstLine="482"/>
        <w:rPr>
          <w:rFonts w:hint="eastAsia" w:ascii="仿宋" w:hAnsi="仿宋" w:eastAsia="仿宋"/>
          <w:b/>
          <w:sz w:val="24"/>
          <w:szCs w:val="24"/>
          <w:lang w:eastAsia="zh-CN"/>
        </w:rPr>
      </w:pPr>
      <w:r>
        <w:rPr>
          <w:rFonts w:hint="eastAsia" w:ascii="仿宋" w:hAnsi="仿宋" w:eastAsia="仿宋"/>
          <w:b/>
          <w:sz w:val="24"/>
          <w:szCs w:val="24"/>
        </w:rPr>
        <w:t>六</w:t>
      </w:r>
      <w:r>
        <w:rPr>
          <w:rFonts w:ascii="仿宋" w:hAnsi="仿宋" w:eastAsia="仿宋"/>
          <w:b/>
          <w:sz w:val="24"/>
          <w:szCs w:val="24"/>
        </w:rPr>
        <w:t>、</w:t>
      </w:r>
      <w:r>
        <w:rPr>
          <w:rFonts w:hint="eastAsia" w:ascii="仿宋" w:hAnsi="仿宋" w:eastAsia="仿宋"/>
          <w:b/>
          <w:sz w:val="24"/>
          <w:szCs w:val="24"/>
          <w:lang w:eastAsia="zh-CN"/>
        </w:rPr>
        <w:t xml:space="preserve">其他  </w:t>
      </w:r>
    </w:p>
    <w:p w14:paraId="40A5A50D">
      <w:pPr>
        <w:snapToGrid w:val="0"/>
        <w:spacing w:line="360" w:lineRule="auto"/>
        <w:ind w:firstLine="480"/>
        <w:rPr>
          <w:rFonts w:ascii="仿宋" w:hAnsi="仿宋" w:eastAsia="仿宋"/>
          <w:sz w:val="24"/>
          <w:szCs w:val="24"/>
        </w:rPr>
      </w:pPr>
      <w:r>
        <w:rPr>
          <w:rFonts w:ascii="仿宋" w:hAnsi="仿宋" w:eastAsia="仿宋"/>
          <w:sz w:val="24"/>
          <w:szCs w:val="24"/>
        </w:rPr>
        <w:t>本实施细则由矿业类专业分流工作领导小组负责解释，未尽事宜以学校相关文件为准。</w:t>
      </w:r>
    </w:p>
    <w:p w14:paraId="264E652B">
      <w:pPr>
        <w:snapToGrid w:val="0"/>
        <w:spacing w:line="360" w:lineRule="auto"/>
        <w:rPr>
          <w:rFonts w:ascii="仿宋" w:hAnsi="仿宋" w:eastAsia="仿宋"/>
          <w:sz w:val="24"/>
          <w:szCs w:val="24"/>
        </w:rPr>
      </w:pPr>
    </w:p>
    <w:p w14:paraId="467C2BA1">
      <w:pPr>
        <w:snapToGrid w:val="0"/>
        <w:spacing w:line="360" w:lineRule="auto"/>
        <w:ind w:firstLine="644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矿业工程学院</w:t>
      </w:r>
    </w:p>
    <w:p w14:paraId="386DC101">
      <w:pPr>
        <w:snapToGrid w:val="0"/>
        <w:spacing w:line="360" w:lineRule="auto"/>
        <w:ind w:firstLine="7000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化工学院</w:t>
      </w:r>
    </w:p>
    <w:p w14:paraId="19F83C42">
      <w:pPr>
        <w:snapToGrid w:val="0"/>
        <w:spacing w:line="360" w:lineRule="auto"/>
        <w:ind w:firstLine="7000" w:firstLineChars="2500"/>
        <w:jc w:val="both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</w:rPr>
        <w:t>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ascii="仿宋" w:hAnsi="仿宋" w:eastAsia="仿宋"/>
          <w:sz w:val="28"/>
          <w:szCs w:val="28"/>
        </w:rPr>
        <w:t>月</w:t>
      </w:r>
    </w:p>
    <w:p w14:paraId="05515810">
      <w:pPr>
        <w:snapToGrid w:val="0"/>
        <w:spacing w:line="360" w:lineRule="auto"/>
        <w:rPr>
          <w:rFonts w:ascii="仿宋" w:hAnsi="仿宋" w:eastAsia="仿宋"/>
          <w:sz w:val="24"/>
          <w:szCs w:val="24"/>
        </w:rPr>
      </w:pPr>
    </w:p>
    <w:p w14:paraId="2504711B">
      <w:pPr>
        <w:snapToGrid w:val="0"/>
        <w:spacing w:line="360" w:lineRule="auto"/>
        <w:rPr>
          <w:rFonts w:ascii="仿宋" w:hAnsi="仿宋" w:eastAsia="仿宋"/>
          <w:sz w:val="24"/>
          <w:szCs w:val="24"/>
        </w:rPr>
      </w:pPr>
    </w:p>
    <w:sectPr>
      <w:pgSz w:w="11906" w:h="16838"/>
      <w:pgMar w:top="1701" w:right="1361" w:bottom="1440" w:left="1361" w:header="709" w:footer="709" w:gutter="0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80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balanceSingleByteDoubleByteWidth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4YzFkOTI1MmYwNjI3YTJjYTVjM2VhMGFmNzcxMDQifQ=="/>
  </w:docVars>
  <w:rsids>
    <w:rsidRoot w:val="00D95558"/>
    <w:rsid w:val="00005218"/>
    <w:rsid w:val="000D7AA9"/>
    <w:rsid w:val="00100A10"/>
    <w:rsid w:val="001400D0"/>
    <w:rsid w:val="0018570F"/>
    <w:rsid w:val="001A3C09"/>
    <w:rsid w:val="001E653F"/>
    <w:rsid w:val="0029018B"/>
    <w:rsid w:val="00340141"/>
    <w:rsid w:val="003A6266"/>
    <w:rsid w:val="003B55E6"/>
    <w:rsid w:val="00412911"/>
    <w:rsid w:val="00420A1C"/>
    <w:rsid w:val="0047339E"/>
    <w:rsid w:val="004D21FA"/>
    <w:rsid w:val="004D561B"/>
    <w:rsid w:val="004F01F9"/>
    <w:rsid w:val="005419F9"/>
    <w:rsid w:val="00571A01"/>
    <w:rsid w:val="005A1EBF"/>
    <w:rsid w:val="005D1D64"/>
    <w:rsid w:val="005E7669"/>
    <w:rsid w:val="006050EE"/>
    <w:rsid w:val="00682C22"/>
    <w:rsid w:val="0069334E"/>
    <w:rsid w:val="006B3B1F"/>
    <w:rsid w:val="006C296C"/>
    <w:rsid w:val="006F4B10"/>
    <w:rsid w:val="00733E98"/>
    <w:rsid w:val="007670BE"/>
    <w:rsid w:val="007704EA"/>
    <w:rsid w:val="00786D59"/>
    <w:rsid w:val="007D2CD6"/>
    <w:rsid w:val="007D2D54"/>
    <w:rsid w:val="007E22B8"/>
    <w:rsid w:val="00830020"/>
    <w:rsid w:val="00885F04"/>
    <w:rsid w:val="008A6A2A"/>
    <w:rsid w:val="008B0A3B"/>
    <w:rsid w:val="008E6F7A"/>
    <w:rsid w:val="00916BA0"/>
    <w:rsid w:val="00921012"/>
    <w:rsid w:val="0099093A"/>
    <w:rsid w:val="009A2E9A"/>
    <w:rsid w:val="009E6FDE"/>
    <w:rsid w:val="00A10BEA"/>
    <w:rsid w:val="00A66832"/>
    <w:rsid w:val="00A764D7"/>
    <w:rsid w:val="00AA2EA3"/>
    <w:rsid w:val="00AA4C20"/>
    <w:rsid w:val="00AB75EC"/>
    <w:rsid w:val="00AC23AC"/>
    <w:rsid w:val="00AE7BDA"/>
    <w:rsid w:val="00B003AA"/>
    <w:rsid w:val="00B012E9"/>
    <w:rsid w:val="00B12886"/>
    <w:rsid w:val="00B41169"/>
    <w:rsid w:val="00BB2888"/>
    <w:rsid w:val="00BB4931"/>
    <w:rsid w:val="00BF57EB"/>
    <w:rsid w:val="00CB7F30"/>
    <w:rsid w:val="00D64B6E"/>
    <w:rsid w:val="00D671CC"/>
    <w:rsid w:val="00D81E8E"/>
    <w:rsid w:val="00D92564"/>
    <w:rsid w:val="00D95558"/>
    <w:rsid w:val="00DC7782"/>
    <w:rsid w:val="00DD0878"/>
    <w:rsid w:val="00E2054C"/>
    <w:rsid w:val="00E31337"/>
    <w:rsid w:val="00E96D50"/>
    <w:rsid w:val="00EC294D"/>
    <w:rsid w:val="00EF4F12"/>
    <w:rsid w:val="00EF5ECF"/>
    <w:rsid w:val="00F01AA2"/>
    <w:rsid w:val="00F15F31"/>
    <w:rsid w:val="00F20521"/>
    <w:rsid w:val="00F81515"/>
    <w:rsid w:val="00F979FE"/>
    <w:rsid w:val="00FB14E5"/>
    <w:rsid w:val="00FF5AC1"/>
    <w:rsid w:val="046050C5"/>
    <w:rsid w:val="05037275"/>
    <w:rsid w:val="0B554366"/>
    <w:rsid w:val="0B7963D9"/>
    <w:rsid w:val="12844DC7"/>
    <w:rsid w:val="136817E4"/>
    <w:rsid w:val="15B42ABF"/>
    <w:rsid w:val="165942D0"/>
    <w:rsid w:val="167345BF"/>
    <w:rsid w:val="16AD4901"/>
    <w:rsid w:val="174326D3"/>
    <w:rsid w:val="17CE7934"/>
    <w:rsid w:val="1B1B0FF2"/>
    <w:rsid w:val="1B4B0344"/>
    <w:rsid w:val="1BDA741A"/>
    <w:rsid w:val="20621A95"/>
    <w:rsid w:val="21DE15EF"/>
    <w:rsid w:val="2670658E"/>
    <w:rsid w:val="288104DD"/>
    <w:rsid w:val="28D150C2"/>
    <w:rsid w:val="2B7E174D"/>
    <w:rsid w:val="2C732BFC"/>
    <w:rsid w:val="2D790641"/>
    <w:rsid w:val="2F087CAC"/>
    <w:rsid w:val="31784AF9"/>
    <w:rsid w:val="31F167D5"/>
    <w:rsid w:val="367E2601"/>
    <w:rsid w:val="375810A4"/>
    <w:rsid w:val="3B0527E0"/>
    <w:rsid w:val="3CCA24CC"/>
    <w:rsid w:val="40152228"/>
    <w:rsid w:val="437207AE"/>
    <w:rsid w:val="4618037D"/>
    <w:rsid w:val="46E76ED6"/>
    <w:rsid w:val="498A77E3"/>
    <w:rsid w:val="4FD83881"/>
    <w:rsid w:val="508F3931"/>
    <w:rsid w:val="53F73CC7"/>
    <w:rsid w:val="54684287"/>
    <w:rsid w:val="54EA5221"/>
    <w:rsid w:val="57B124E8"/>
    <w:rsid w:val="5888724A"/>
    <w:rsid w:val="5AF820D3"/>
    <w:rsid w:val="61291238"/>
    <w:rsid w:val="6AE97EA7"/>
    <w:rsid w:val="6C4849A5"/>
    <w:rsid w:val="6D325918"/>
    <w:rsid w:val="6F9C52CB"/>
    <w:rsid w:val="755C34A7"/>
    <w:rsid w:val="75ED4AD2"/>
    <w:rsid w:val="7A613399"/>
    <w:rsid w:val="7B114DBF"/>
    <w:rsid w:val="7C6929D9"/>
    <w:rsid w:val="7E926217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autoSpaceDE w:val="0"/>
      <w:autoSpaceDN w:val="0"/>
      <w:spacing w:after="0"/>
      <w:jc w:val="both"/>
    </w:pPr>
    <w:rPr>
      <w:rFonts w:ascii="Calibri" w:hAnsi="宋体" w:eastAsia="宋体" w:cs="宋体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="100" w:beforeAutospacing="1" w:after="100" w:afterAutospacing="1"/>
      <w:jc w:val="left"/>
    </w:pPr>
    <w:rPr>
      <w:rFonts w:ascii="宋体"/>
      <w:sz w:val="24"/>
      <w:szCs w:val="24"/>
    </w:rPr>
  </w:style>
  <w:style w:type="table" w:styleId="7">
    <w:name w:val="Table Grid"/>
    <w:basedOn w:val="6"/>
    <w:qFormat/>
    <w:uiPriority w:val="59"/>
    <w:pPr>
      <w:spacing w:after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字符"/>
    <w:basedOn w:val="8"/>
    <w:link w:val="4"/>
    <w:qFormat/>
    <w:uiPriority w:val="0"/>
    <w:rPr>
      <w:rFonts w:ascii="Calibri" w:hAnsi="宋体" w:cs="宋体"/>
      <w:sz w:val="18"/>
      <w:szCs w:val="18"/>
    </w:rPr>
  </w:style>
  <w:style w:type="character" w:customStyle="1" w:styleId="11">
    <w:name w:val="页脚 字符"/>
    <w:basedOn w:val="8"/>
    <w:link w:val="3"/>
    <w:qFormat/>
    <w:uiPriority w:val="0"/>
    <w:rPr>
      <w:rFonts w:ascii="Calibri" w:hAnsi="宋体" w:cs="宋体"/>
      <w:sz w:val="18"/>
      <w:szCs w:val="18"/>
    </w:rPr>
  </w:style>
  <w:style w:type="character" w:customStyle="1" w:styleId="12">
    <w:name w:val="批注框文本 字符"/>
    <w:basedOn w:val="8"/>
    <w:link w:val="2"/>
    <w:semiHidden/>
    <w:qFormat/>
    <w:uiPriority w:val="99"/>
    <w:rPr>
      <w:rFonts w:ascii="Calibri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1021</Words>
  <Characters>1052</Characters>
  <Lines>7</Lines>
  <Paragraphs>2</Paragraphs>
  <TotalTime>298</TotalTime>
  <ScaleCrop>false</ScaleCrop>
  <LinksUpToDate>false</LinksUpToDate>
  <CharactersWithSpaces>1087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2023-03-21T01:03:00Z</dcterms:created>
  <dc:creator>JDZX</dc:creator>
  <cp:lastModifiedBy>小胖</cp:lastModifiedBy>
  <cp:lastPrinted>2024-03-25T06:49:00Z</cp:lastPrinted>
  <dcterms:modified xsi:type="dcterms:W3CDTF">2026-04-04T06:54:25Z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254211F613584568A82C387995966A14_12</vt:lpwstr>
  </property>
  <property fmtid="{D5CDD505-2E9C-101B-9397-08002B2CF9AE}" pid="4" name="KSOTemplateDocerSaveRecord">
    <vt:lpwstr>eyJoZGlkIjoiNTNiZDljNzhkYTliNTcxN2U1NThkODAzMjgyYzAyODQiLCJ1c2VySWQiOiI3Mzk3OTc3NjkifQ==</vt:lpwstr>
  </property>
</Properties>
</file>