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jc w:val="center"/>
        <w:rPr>
          <w:rFonts w:hint="eastAsia" w:ascii="Times New Roman" w:hAnsi="Times New Roman" w:eastAsia="宋体"/>
          <w:b/>
          <w:bCs/>
          <w:color w:val="000000" w:themeColor="text1"/>
          <w:sz w:val="36"/>
          <w:szCs w:val="36"/>
          <w:lang w:val="en-US" w:eastAsia="zh-CN"/>
          <w14:textFill>
            <w14:solidFill>
              <w14:schemeClr w14:val="tx1"/>
            </w14:solidFill>
          </w14:textFill>
        </w:rPr>
      </w:pPr>
      <w:r>
        <w:rPr>
          <w:rFonts w:hint="eastAsia" w:ascii="Times New Roman" w:hAnsi="Times New Roman" w:eastAsia="宋体"/>
          <w:b/>
          <w:bCs/>
          <w:color w:val="000000" w:themeColor="text1"/>
          <w:sz w:val="36"/>
          <w:szCs w:val="36"/>
          <w:lang w:val="en-US" w:eastAsia="zh-CN"/>
          <w14:textFill>
            <w14:solidFill>
              <w14:schemeClr w14:val="tx1"/>
            </w14:solidFill>
          </w14:textFill>
        </w:rPr>
        <w:t>矿加学科双选规定</w:t>
      </w:r>
    </w:p>
    <w:p>
      <w:pPr>
        <w:pStyle w:val="4"/>
        <w:numPr>
          <w:ilvl w:val="0"/>
          <w:numId w:val="0"/>
        </w:numPr>
        <w:ind w:leftChars="0"/>
        <w:jc w:val="center"/>
        <w:rPr>
          <w:rFonts w:hint="eastAsia" w:ascii="Times New Roman" w:hAnsi="Times New Roman" w:eastAsia="宋体"/>
          <w:b/>
          <w:bCs/>
          <w:color w:val="000000" w:themeColor="text1"/>
          <w:sz w:val="36"/>
          <w:szCs w:val="36"/>
          <w:lang w:val="en-US" w:eastAsia="zh-CN"/>
          <w14:textFill>
            <w14:solidFill>
              <w14:schemeClr w14:val="tx1"/>
            </w14:solidFill>
          </w14:textFill>
        </w:rPr>
      </w:pPr>
    </w:p>
    <w:p>
      <w:pPr>
        <w:pStyle w:val="4"/>
        <w:numPr>
          <w:ilvl w:val="0"/>
          <w:numId w:val="1"/>
        </w:numPr>
        <w:ind w:firstLineChars="0"/>
        <w:jc w:val="left"/>
        <w:rPr>
          <w:rFonts w:ascii="Times New Roman" w:hAnsi="Times New Roman" w:cs="Times New Roman"/>
          <w:sz w:val="24"/>
          <w:szCs w:val="24"/>
        </w:rPr>
      </w:pPr>
      <w:r>
        <w:rPr>
          <w:rFonts w:ascii="Times New Roman" w:hAnsi="Times New Roman" w:cs="Times New Roman"/>
          <w:sz w:val="24"/>
          <w:szCs w:val="24"/>
        </w:rPr>
        <w:t>教授（</w:t>
      </w:r>
      <w:r>
        <w:rPr>
          <w:rFonts w:hint="eastAsia" w:ascii="Times New Roman" w:hAnsi="Times New Roman" w:cs="Times New Roman"/>
          <w:sz w:val="24"/>
          <w:szCs w:val="24"/>
          <w:lang w:val="en-US" w:eastAsia="zh-CN"/>
        </w:rPr>
        <w:t>3名</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其中学术型&lt;=2</w:t>
      </w:r>
      <w:r>
        <w:rPr>
          <w:rFonts w:ascii="Times New Roman" w:hAnsi="Times New Roman" w:cs="Times New Roman"/>
          <w:sz w:val="24"/>
          <w:szCs w:val="24"/>
        </w:rPr>
        <w:t>），副教授（2名，学术型/专业型不限），讲师（1名，学术型/专业型不限）。</w:t>
      </w:r>
    </w:p>
    <w:p>
      <w:pPr>
        <w:pStyle w:val="4"/>
        <w:numPr>
          <w:ilvl w:val="0"/>
          <w:numId w:val="1"/>
        </w:numPr>
        <w:ind w:firstLineChars="0"/>
        <w:jc w:val="left"/>
        <w:rPr>
          <w:rFonts w:ascii="Times New Roman" w:hAnsi="Times New Roman" w:cs="Times New Roman"/>
          <w:sz w:val="24"/>
          <w:szCs w:val="24"/>
        </w:rPr>
      </w:pPr>
      <w:r>
        <w:rPr>
          <w:rFonts w:ascii="Times New Roman" w:hAnsi="Times New Roman" w:cs="Times New Roman"/>
          <w:sz w:val="24"/>
          <w:szCs w:val="24"/>
        </w:rPr>
        <w:t>新聘硕士生导师只招1人。预聘教授招生指标等同于教授，预聘副教授招生指标等同于副教授。</w:t>
      </w:r>
    </w:p>
    <w:p>
      <w:pPr>
        <w:pStyle w:val="4"/>
        <w:numPr>
          <w:ilvl w:val="0"/>
          <w:numId w:val="1"/>
        </w:numPr>
        <w:ind w:firstLineChars="0"/>
        <w:jc w:val="left"/>
        <w:rPr>
          <w:rFonts w:ascii="Times New Roman" w:hAnsi="Times New Roman" w:cs="Times New Roman"/>
          <w:sz w:val="24"/>
          <w:szCs w:val="24"/>
        </w:rPr>
      </w:pPr>
      <w:r>
        <w:rPr>
          <w:rFonts w:ascii="Times New Roman" w:hAnsi="Times New Roman" w:cs="Times New Roman"/>
          <w:sz w:val="24"/>
          <w:szCs w:val="24"/>
        </w:rPr>
        <w:t>符合下述条件之一，可增加1个招生指标，指标不累加：</w:t>
      </w:r>
    </w:p>
    <w:p>
      <w:pPr>
        <w:pStyle w:val="4"/>
        <w:numPr>
          <w:ilvl w:val="0"/>
          <w:numId w:val="2"/>
        </w:numPr>
        <w:ind w:firstLineChars="0"/>
        <w:jc w:val="left"/>
        <w:rPr>
          <w:rFonts w:ascii="Times New Roman" w:hAnsi="Times New Roman" w:cs="Times New Roman"/>
          <w:bCs/>
          <w:sz w:val="24"/>
          <w:szCs w:val="24"/>
        </w:rPr>
      </w:pPr>
      <w:r>
        <w:rPr>
          <w:rFonts w:ascii="Times New Roman" w:hAnsi="Times New Roman" w:cs="Times New Roman"/>
          <w:bCs/>
          <w:sz w:val="24"/>
          <w:szCs w:val="24"/>
        </w:rPr>
        <w:t>指导学生获江苏省优秀硕士论文（仅限获奖年度）；</w:t>
      </w:r>
    </w:p>
    <w:p>
      <w:pPr>
        <w:pStyle w:val="4"/>
        <w:numPr>
          <w:ilvl w:val="0"/>
          <w:numId w:val="2"/>
        </w:numPr>
        <w:ind w:firstLineChars="0"/>
        <w:jc w:val="left"/>
        <w:rPr>
          <w:rFonts w:ascii="Times New Roman" w:hAnsi="Times New Roman" w:cs="Times New Roman"/>
          <w:sz w:val="24"/>
          <w:szCs w:val="24"/>
        </w:rPr>
      </w:pPr>
      <w:r>
        <w:rPr>
          <w:rFonts w:ascii="Times New Roman" w:hAnsi="Times New Roman" w:cs="Times New Roman"/>
          <w:bCs/>
          <w:sz w:val="24"/>
          <w:szCs w:val="24"/>
        </w:rPr>
        <w:t>外校推免生、本校推免生专业前10名或本硕博推免生；</w:t>
      </w:r>
    </w:p>
    <w:p>
      <w:pPr>
        <w:pStyle w:val="4"/>
        <w:numPr>
          <w:ilvl w:val="0"/>
          <w:numId w:val="2"/>
        </w:numPr>
        <w:ind w:firstLineChars="0"/>
        <w:jc w:val="left"/>
        <w:rPr>
          <w:rFonts w:ascii="Times New Roman" w:hAnsi="Times New Roman" w:cs="Times New Roman"/>
          <w:sz w:val="24"/>
          <w:szCs w:val="24"/>
        </w:rPr>
      </w:pPr>
      <w:r>
        <w:rPr>
          <w:rFonts w:ascii="Times New Roman" w:hAnsi="Times New Roman" w:cs="Times New Roman"/>
          <w:bCs/>
          <w:sz w:val="24"/>
          <w:szCs w:val="24"/>
        </w:rPr>
        <w:t>承担国家重大/重点项目，在项目执行期内；</w:t>
      </w:r>
    </w:p>
    <w:p>
      <w:pPr>
        <w:pStyle w:val="4"/>
        <w:numPr>
          <w:ilvl w:val="0"/>
          <w:numId w:val="2"/>
        </w:numPr>
        <w:ind w:firstLineChars="0"/>
        <w:jc w:val="left"/>
        <w:rPr>
          <w:rFonts w:ascii="Times New Roman" w:hAnsi="Times New Roman" w:cs="Times New Roman"/>
          <w:sz w:val="24"/>
          <w:szCs w:val="24"/>
        </w:rPr>
      </w:pPr>
      <w:r>
        <w:rPr>
          <w:rFonts w:ascii="Times New Roman" w:hAnsi="Times New Roman" w:cs="Times New Roman"/>
          <w:bCs/>
          <w:sz w:val="24"/>
          <w:szCs w:val="24"/>
        </w:rPr>
        <w:t>1个招生周期（上一学年，即上一年9月1日到当年9月1日），到账纯科研经费200万以上。</w:t>
      </w:r>
    </w:p>
    <w:p>
      <w:pPr>
        <w:pStyle w:val="4"/>
        <w:numPr>
          <w:ilvl w:val="0"/>
          <w:numId w:val="1"/>
        </w:numPr>
        <w:ind w:firstLineChars="0"/>
        <w:jc w:val="left"/>
        <w:rPr>
          <w:rFonts w:ascii="Times New Roman" w:hAnsi="Times New Roman" w:cs="Times New Roman"/>
          <w:sz w:val="24"/>
          <w:szCs w:val="24"/>
        </w:rPr>
      </w:pPr>
      <w:r>
        <w:rPr>
          <w:rFonts w:ascii="Times New Roman" w:hAnsi="Times New Roman" w:cs="Times New Roman"/>
          <w:sz w:val="24"/>
          <w:szCs w:val="24"/>
        </w:rPr>
        <w:t xml:space="preserve">专业型硕士应注重工程能力培养，学位论文应结合生产实际。 </w:t>
      </w:r>
    </w:p>
    <w:p>
      <w:pPr>
        <w:ind w:firstLine="480" w:firstLineChars="200"/>
        <w:jc w:val="left"/>
        <w:rPr>
          <w:rFonts w:ascii="Times New Roman" w:hAnsi="Times New Roman" w:cs="Times New Roman"/>
          <w:sz w:val="28"/>
          <w:szCs w:val="28"/>
        </w:rPr>
      </w:pPr>
      <w:r>
        <w:rPr>
          <w:rFonts w:ascii="Times New Roman" w:hAnsi="Times New Roman" w:cs="Times New Roman"/>
          <w:sz w:val="24"/>
          <w:szCs w:val="24"/>
        </w:rPr>
        <w:t>上述规定要求所有研究生导师严格遵守，双选结果将在学科内进行公布，</w:t>
      </w:r>
      <w:r>
        <w:rPr>
          <w:rFonts w:hint="eastAsia" w:ascii="Times New Roman" w:hAnsi="Times New Roman" w:cs="Times New Roman"/>
          <w:sz w:val="24"/>
          <w:szCs w:val="24"/>
        </w:rPr>
        <w:t>矿物加工工程研究生招生小组</w:t>
      </w:r>
      <w:r>
        <w:rPr>
          <w:rFonts w:ascii="Times New Roman" w:hAnsi="Times New Roman" w:cs="Times New Roman"/>
          <w:sz w:val="24"/>
          <w:szCs w:val="24"/>
        </w:rPr>
        <w:t>监督执行</w:t>
      </w:r>
      <w:r>
        <w:rPr>
          <w:rFonts w:ascii="Times New Roman" w:hAnsi="Times New Roman" w:cs="Times New Roman"/>
          <w:sz w:val="28"/>
          <w:szCs w:val="28"/>
        </w:rPr>
        <w:t>。</w:t>
      </w:r>
    </w:p>
    <w:p>
      <w:pPr>
        <w:ind w:firstLine="560" w:firstLineChars="200"/>
        <w:jc w:val="left"/>
        <w:rPr>
          <w:rFonts w:hint="eastAsia" w:ascii="Times New Roman" w:hAnsi="Times New Roman" w:cs="Times New Roman"/>
          <w:sz w:val="28"/>
          <w:szCs w:val="28"/>
          <w:lang w:val="en-US" w:eastAsia="zh-CN"/>
        </w:rPr>
      </w:pPr>
    </w:p>
    <w:p>
      <w:pPr>
        <w:pStyle w:val="4"/>
        <w:numPr>
          <w:ilvl w:val="0"/>
          <w:numId w:val="0"/>
        </w:numPr>
        <w:ind w:leftChars="0"/>
        <w:jc w:val="center"/>
        <w:rPr>
          <w:rFonts w:hint="default" w:ascii="Times New Roman" w:hAnsi="Times New Roman" w:eastAsia="宋体"/>
          <w:b/>
          <w:bCs/>
          <w:color w:val="000000" w:themeColor="text1"/>
          <w:sz w:val="36"/>
          <w:szCs w:val="36"/>
          <w:lang w:val="en-US" w:eastAsia="zh-CN"/>
          <w14:textFill>
            <w14:solidFill>
              <w14:schemeClr w14:val="tx1"/>
            </w14:solidFill>
          </w14:textFill>
        </w:rPr>
      </w:pPr>
      <w:r>
        <w:rPr>
          <w:rFonts w:hint="eastAsia" w:ascii="Times New Roman" w:hAnsi="Times New Roman" w:eastAsia="宋体"/>
          <w:b/>
          <w:bCs/>
          <w:color w:val="000000" w:themeColor="text1"/>
          <w:sz w:val="36"/>
          <w:szCs w:val="36"/>
          <w:lang w:val="en-US" w:eastAsia="zh-CN"/>
          <w14:textFill>
            <w14:solidFill>
              <w14:schemeClr w14:val="tx1"/>
            </w14:solidFill>
          </w14:textFill>
        </w:rPr>
        <w:t>化工学科双选规定</w:t>
      </w:r>
    </w:p>
    <w:p>
      <w:pPr>
        <w:pStyle w:val="4"/>
        <w:numPr>
          <w:ilvl w:val="0"/>
          <w:numId w:val="0"/>
        </w:numPr>
        <w:ind w:leftChars="0"/>
        <w:rPr>
          <w:rFonts w:hint="eastAsia" w:ascii="Times New Roman" w:hAnsi="Times New Roman" w:eastAsia="宋体"/>
          <w:color w:val="000000" w:themeColor="text1"/>
          <w14:textFill>
            <w14:solidFill>
              <w14:schemeClr w14:val="tx1"/>
            </w14:solidFill>
          </w14:textFill>
        </w:rPr>
      </w:pPr>
    </w:p>
    <w:p>
      <w:pPr>
        <w:pStyle w:val="4"/>
        <w:numPr>
          <w:ilvl w:val="0"/>
          <w:numId w:val="0"/>
        </w:numPr>
        <w:ind w:leftChars="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cs="Times New Roman"/>
          <w:sz w:val="24"/>
          <w:szCs w:val="24"/>
        </w:rPr>
        <w:t>首次招生限招1人；讲师每年限招1名研究生；副高级职称限招2名；正高级职称限招3名；承担国家重点项目、国家重点研发计划课题执行期内和国家级人才培养期内和单个招生周期内到账经费超过100万的，每年增加1个招生指标（包括学硕和专硕总和，但一个导师不能超过两个学硕）。</w:t>
      </w:r>
      <w:bookmarkStart w:id="0" w:name="_GoBack"/>
      <w:bookmarkEnd w:id="0"/>
    </w:p>
    <w:sectPr>
      <w:pgSz w:w="11906" w:h="16838"/>
      <w:pgMar w:top="1134"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160E98"/>
    <w:multiLevelType w:val="multilevel"/>
    <w:tmpl w:val="3A160E98"/>
    <w:lvl w:ilvl="0" w:tentative="0">
      <w:start w:val="1"/>
      <w:numFmt w:val="decimal"/>
      <w:lvlText w:val="（%1）"/>
      <w:lvlJc w:val="left"/>
      <w:pPr>
        <w:tabs>
          <w:tab w:val="left" w:pos="0"/>
        </w:tabs>
        <w:ind w:left="1090" w:hanging="730"/>
      </w:pPr>
      <w:rPr>
        <w:rFonts w:hint="default"/>
      </w:rPr>
    </w:lvl>
    <w:lvl w:ilvl="1" w:tentative="0">
      <w:start w:val="1"/>
      <w:numFmt w:val="lowerLetter"/>
      <w:lvlText w:val="%2)"/>
      <w:lvlJc w:val="left"/>
      <w:pPr>
        <w:tabs>
          <w:tab w:val="left" w:pos="0"/>
        </w:tabs>
        <w:ind w:left="1200" w:hanging="420"/>
      </w:pPr>
    </w:lvl>
    <w:lvl w:ilvl="2" w:tentative="0">
      <w:start w:val="1"/>
      <w:numFmt w:val="lowerRoman"/>
      <w:lvlText w:val="%3."/>
      <w:lvlJc w:val="right"/>
      <w:pPr>
        <w:tabs>
          <w:tab w:val="left" w:pos="0"/>
        </w:tabs>
        <w:ind w:left="1620" w:hanging="420"/>
      </w:pPr>
    </w:lvl>
    <w:lvl w:ilvl="3" w:tentative="0">
      <w:start w:val="1"/>
      <w:numFmt w:val="decimal"/>
      <w:lvlText w:val="%4."/>
      <w:lvlJc w:val="left"/>
      <w:pPr>
        <w:tabs>
          <w:tab w:val="left" w:pos="0"/>
        </w:tabs>
        <w:ind w:left="2040" w:hanging="420"/>
      </w:pPr>
    </w:lvl>
    <w:lvl w:ilvl="4" w:tentative="0">
      <w:start w:val="1"/>
      <w:numFmt w:val="lowerLetter"/>
      <w:lvlText w:val="%5)"/>
      <w:lvlJc w:val="left"/>
      <w:pPr>
        <w:tabs>
          <w:tab w:val="left" w:pos="0"/>
        </w:tabs>
        <w:ind w:left="2460" w:hanging="420"/>
      </w:pPr>
    </w:lvl>
    <w:lvl w:ilvl="5" w:tentative="0">
      <w:start w:val="1"/>
      <w:numFmt w:val="lowerRoman"/>
      <w:lvlText w:val="%6."/>
      <w:lvlJc w:val="right"/>
      <w:pPr>
        <w:tabs>
          <w:tab w:val="left" w:pos="0"/>
        </w:tabs>
        <w:ind w:left="2880" w:hanging="420"/>
      </w:pPr>
    </w:lvl>
    <w:lvl w:ilvl="6" w:tentative="0">
      <w:start w:val="1"/>
      <w:numFmt w:val="decimal"/>
      <w:lvlText w:val="%7."/>
      <w:lvlJc w:val="left"/>
      <w:pPr>
        <w:tabs>
          <w:tab w:val="left" w:pos="0"/>
        </w:tabs>
        <w:ind w:left="3300" w:hanging="420"/>
      </w:pPr>
    </w:lvl>
    <w:lvl w:ilvl="7" w:tentative="0">
      <w:start w:val="1"/>
      <w:numFmt w:val="lowerLetter"/>
      <w:lvlText w:val="%8)"/>
      <w:lvlJc w:val="left"/>
      <w:pPr>
        <w:tabs>
          <w:tab w:val="left" w:pos="0"/>
        </w:tabs>
        <w:ind w:left="3720" w:hanging="420"/>
      </w:pPr>
    </w:lvl>
    <w:lvl w:ilvl="8" w:tentative="0">
      <w:start w:val="1"/>
      <w:numFmt w:val="lowerRoman"/>
      <w:lvlText w:val="%9."/>
      <w:lvlJc w:val="right"/>
      <w:pPr>
        <w:tabs>
          <w:tab w:val="left" w:pos="0"/>
        </w:tabs>
        <w:ind w:left="4140" w:hanging="420"/>
      </w:pPr>
    </w:lvl>
  </w:abstractNum>
  <w:abstractNum w:abstractNumId="1">
    <w:nsid w:val="54132D7F"/>
    <w:multiLevelType w:val="multilevel"/>
    <w:tmpl w:val="54132D7F"/>
    <w:lvl w:ilvl="0" w:tentative="0">
      <w:start w:val="1"/>
      <w:numFmt w:val="decimal"/>
      <w:lvlText w:val="%1."/>
      <w:lvlJc w:val="left"/>
      <w:pPr>
        <w:tabs>
          <w:tab w:val="left" w:pos="0"/>
        </w:tabs>
        <w:ind w:left="360" w:hanging="360"/>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N2Q4MGVjMDE5ZjQ3NDdhZWI0MWEyODI0YjBmNWYifQ=="/>
  </w:docVars>
  <w:rsids>
    <w:rsidRoot w:val="008147DC"/>
    <w:rsid w:val="00090A91"/>
    <w:rsid w:val="008147DC"/>
    <w:rsid w:val="00AD6D7C"/>
    <w:rsid w:val="00B400FE"/>
    <w:rsid w:val="035857D5"/>
    <w:rsid w:val="15711597"/>
    <w:rsid w:val="1BD6635F"/>
    <w:rsid w:val="6B2F1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405</Words>
  <Characters>410</Characters>
  <Lines>2</Lines>
  <Paragraphs>1</Paragraphs>
  <TotalTime>15</TotalTime>
  <ScaleCrop>false</ScaleCrop>
  <LinksUpToDate>false</LinksUpToDate>
  <CharactersWithSpaces>411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2022-09-06T08:15:00Z</dcterms:created>
  <dc:creator>廖云天</dc:creator>
  <cp:lastModifiedBy>万万</cp:lastModifiedBy>
  <dcterms:modified xsi:type="dcterms:W3CDTF">2023-09-22T08:32:41Z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88730AE1EFAD4FC5B2E81895D1684630</vt:lpwstr>
  </property>
</Properties>
</file>